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D3B66"/>
          <w:sz w:val="38"/>
        </w:rPr>
        <w:t>Animal Welfare in Construction &amp; Architecture — European Standards</w:t>
      </w:r>
    </w:p>
    <w:p>
      <w:pPr>
        <w:jc w:val="center"/>
      </w:pPr>
      <w:r>
        <w:rPr>
          <w:i/>
          <w:color w:val="6B7280"/>
          <w:sz w:val="22"/>
        </w:rPr>
        <w:t>EU minimum-space standards (Directive 2010/63/EU) with EU ⇄ USA comparison — SI units</w:t>
      </w:r>
    </w:p>
    <w:p>
      <w:pPr>
        <w:spacing w:before="200" w:after="80"/>
      </w:pPr>
      <w:r>
        <w:rPr>
          <w:b/>
          <w:color w:val="0D3B66"/>
          <w:sz w:val="28"/>
        </w:rPr>
        <w:t>Scope &amp; which standard applies</w:t>
      </w:r>
    </w:p>
    <w:p>
      <w:r>
        <w:rPr>
          <w:sz w:val="22"/>
        </w:rPr>
        <w:t>The concrete European minimum-space tables come from Directive 2010/63/EU (protection of animals used for scientific purposes), Annex III — the most precise EU figures available. For companion/pet animals the governing instruments are the Council of Europe Convention for the Protection of Pet Animals (ETS 125) plus national codes, which set principles rather than fixed m² tables. Where EU and USA values differ, the greater value should be taken as the working minimum.</w:t>
      </w:r>
    </w:p>
    <w:p>
      <w:pPr>
        <w:spacing w:before="200" w:after="80"/>
      </w:pPr>
      <w:r>
        <w:rPr>
          <w:b/>
          <w:color w:val="0D3B66"/>
          <w:sz w:val="28"/>
        </w:rPr>
        <w:t>EU minimum enclosure space (Directive 2010/63/EU)</w:t>
      </w:r>
    </w:p>
    <w:p>
      <w:pPr>
        <w:pStyle w:val="ListBullet"/>
      </w:pPr>
      <w:r>
        <w:rPr>
          <w:sz w:val="22"/>
        </w:rPr>
        <w:t>Dog: minimum enclosure 4.0 m² for dogs ≤ 20 kg, 8.0 m² for dogs &gt; 20 kg; minimum height 2.0 m; outside runs to be provided where possible.</w:t>
      </w:r>
    </w:p>
    <w:p>
      <w:pPr>
        <w:pStyle w:val="ListBullet"/>
      </w:pPr>
      <w:r>
        <w:rPr>
          <w:sz w:val="22"/>
        </w:rPr>
        <w:t>Cat: floor 0.50 m² (+ 0.25 m² per additional adult), shelf area 2.0 m², minimum height 1.5 m — EU emphasises vertical/shelf space.</w:t>
      </w:r>
    </w:p>
    <w:p>
      <w:pPr>
        <w:pStyle w:val="ListBullet"/>
      </w:pPr>
      <w:r>
        <w:rPr>
          <w:sz w:val="22"/>
        </w:rPr>
        <w:t>Horse (equids, by withers height WH): 9.0 m² (WH 1.0–1.4 m), 12.0 m² (WH 1.4–1.6 m), 16.0 m² (WH &gt; 1.6 m) per animal held singly/in small groups; foaling box 16–20 m²; minimum enclosure height 3.0 m.</w:t>
      </w:r>
    </w:p>
    <w:p>
      <w:pPr>
        <w:spacing w:before="200" w:after="80"/>
      </w:pPr>
      <w:r>
        <w:rPr>
          <w:b/>
          <w:color w:val="0D3B66"/>
          <w:sz w:val="28"/>
        </w:rPr>
        <w:t>EU ⇄ USA comparison — minimum enclosure space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  <w:sz w:val="20"/>
              </w:rPr>
              <w:t>Case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EU — Directive 2010/63/EU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USA — AWA 9 CFR §3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Key difference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9"/>
              </w:rPr>
              <w:t>Dog ≤ 20 kg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Enclosure 4.0 m²; height 2.0 m.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≈ 0.74–1.20 m² per animal; height ‘stand erect’.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EU ~3–5× more floor; fixed 2 m height.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9"/>
              </w:rPr>
              <w:t>Dog &gt; 20 kg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Enclosure 8.0 m²; height 2.0 m.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≥ 2.40 m² per animal.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EU much larger fixed enclosure.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9"/>
              </w:rPr>
              <w:t>Cat (adult)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Floor 0.50 m² + shelf 2.0 m²; height 1.5 m.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Floor 0.28–0.37 m² + shelf 0.61 m²; height 0.61 m.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EU stresses vertical space; 1.5 m vs 0.61 m high.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9"/>
              </w:rPr>
              <w:t>Horse (WH 1.4–1.6 m)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12.0 m² per animal; height 3.0 m; foaling 16–20 m².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12.96 m² (WH ≥ 1.48 m); height not set.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Similar floor; EU sets 3 m height + foaling box.</w:t>
            </w:r>
          </w:p>
        </w:tc>
      </w:tr>
    </w:tbl>
    <w:p>
      <w:pPr>
        <w:spacing w:before="200" w:after="80"/>
      </w:pPr>
      <w:r>
        <w:rPr>
          <w:b/>
          <w:color w:val="0D3B66"/>
          <w:sz w:val="28"/>
        </w:rPr>
        <w:t>Climate &amp; indoor/outdoor design (universal)</w:t>
      </w:r>
    </w:p>
    <w:p>
      <w:pPr>
        <w:pStyle w:val="ListBullet"/>
      </w:pPr>
      <w:r>
        <w:rPr>
          <w:sz w:val="22"/>
        </w:rPr>
        <w:t>Indoor: enclosed shell, mechanical ventilation, isolation rooms, acoustic control.</w:t>
      </w:r>
    </w:p>
    <w:p>
      <w:pPr>
        <w:pStyle w:val="ListBullet"/>
      </w:pPr>
      <w:r>
        <w:rPr>
          <w:sz w:val="22"/>
        </w:rPr>
        <w:t>Outdoor: runs, shade, weather shelter, floor slope + drainage, secure fencing.</w:t>
      </w:r>
    </w:p>
    <w:p>
      <w:pPr>
        <w:pStyle w:val="ListBullet"/>
      </w:pPr>
      <w:r>
        <w:rPr>
          <w:sz w:val="22"/>
        </w:rPr>
        <w:t>Tropical / hot-humid: maximise cross-ventilation; stilts/raised floors; deep shade; light roofs; lightweight low-thermal-mass walls; evaporative cooling.</w:t>
      </w:r>
    </w:p>
    <w:p>
      <w:pPr>
        <w:pStyle w:val="ListBullet"/>
      </w:pPr>
      <w:r>
        <w:rPr>
          <w:sz w:val="22"/>
        </w:rPr>
        <w:t>Non-tropical / cold: insulation, sealed envelope, heating, thermal mass, solar orientation, snow/rain roof loads.</w:t>
      </w:r>
    </w:p>
    <w:p>
      <w:pPr>
        <w:pStyle w:val="ListBullet"/>
      </w:pPr>
      <w:r>
        <w:rPr>
          <w:sz w:val="22"/>
        </w:rPr>
        <w:t>Materials &amp; sanitation: non-porous, washable, durable, drainable surfaces; one-way clean→dirty zoning (intake · quarantine · medical · housing · socialisation).</w:t>
      </w:r>
    </w:p>
    <w:p>
      <w:pPr>
        <w:spacing w:before="200" w:after="80"/>
      </w:pPr>
      <w:r>
        <w:rPr>
          <w:b/>
          <w:color w:val="0D3B66"/>
          <w:sz w:val="28"/>
        </w:rPr>
        <w:t>Comparison figure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852160" cy="652097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nimal_welfare_EU_vs_US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652097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200" w:after="80"/>
      </w:pPr>
      <w:r>
        <w:rPr>
          <w:b/>
          <w:color w:val="0D3B66"/>
          <w:sz w:val="28"/>
        </w:rPr>
        <w:t>Sources</w:t>
      </w:r>
    </w:p>
    <w:p>
      <w:pPr>
        <w:pStyle w:val="ListBullet"/>
      </w:pPr>
      <w:r>
        <w:rPr>
          <w:sz w:val="22"/>
        </w:rPr>
        <w:t>EUR-Lex — Directive 2010/63/EU, Annex III (minimum space tables): eur-lex.europa.eu/eli/dir/2010/63</w:t>
      </w:r>
    </w:p>
    <w:p>
      <w:pPr>
        <w:pStyle w:val="ListBullet"/>
      </w:pPr>
      <w:r>
        <w:rPr>
          <w:sz w:val="22"/>
        </w:rPr>
        <w:t>NC3Rs — Minimum space allocations for laboratory animals: comparison of UK, EU and USA guidance (2024)</w:t>
      </w:r>
    </w:p>
    <w:p>
      <w:pPr>
        <w:pStyle w:val="ListBullet"/>
      </w:pPr>
      <w:r>
        <w:rPr>
          <w:sz w:val="22"/>
        </w:rPr>
        <w:t>Council of Europe — Convention for the Protection of Pet Animals (ETS 125)</w:t>
      </w:r>
    </w:p>
    <w:p>
      <w:pPr>
        <w:pStyle w:val="ListBullet"/>
      </w:pPr>
      <w:r>
        <w:rPr>
          <w:sz w:val="22"/>
        </w:rPr>
        <w:t>European Commission — Guide to good animal welfare practice for keeping horses</w:t>
      </w:r>
    </w:p>
    <w:p>
      <w:pPr>
        <w:pStyle w:val="ListBullet"/>
      </w:pPr>
      <w:r>
        <w:rPr>
          <w:sz w:val="22"/>
        </w:rPr>
        <w:t>USDA — Animal Welfare Act, 9 CFR Part 3 (US comparison values)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