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0"/>
        </w:rPr>
        <w:t>Animal Welfare in Construction &amp; Architecture</w:t>
      </w:r>
    </w:p>
    <w:p>
      <w:pPr>
        <w:jc w:val="center"/>
      </w:pPr>
      <w:r>
        <w:rPr>
          <w:i/>
          <w:color w:val="6B7280"/>
          <w:sz w:val="22"/>
        </w:rPr>
        <w:t>Design framework, standards &amp; decision matrix — metric (SI) units</w:t>
      </w:r>
    </w:p>
    <w:p>
      <w:pPr>
        <w:spacing w:before="200" w:after="80"/>
      </w:pPr>
      <w:r>
        <w:rPr>
          <w:b/>
          <w:color w:val="1F3A5F"/>
          <w:sz w:val="28"/>
        </w:rPr>
        <w:t>Overview</w:t>
      </w:r>
    </w:p>
    <w:p>
      <w:r>
        <w:rPr>
          <w:b w:val="0"/>
          <w:sz w:val="22"/>
        </w:rPr>
        <w:t>Animal welfare in housing is defined (USDA) by three dimensions: biological health, emotional state, and the ability to express natural behaviour. In construction and architecture terms, the legal floor is set by the Animal Welfare Act (7 U.S.C. §1752; technical specifications in 9 CFR Part 3). These mandatory provisions are constant, but the way each is built changes with three design variables: indoor vs outdoor, tropical vs non-tropical climate, and species.</w:t>
      </w:r>
    </w:p>
    <w:p>
      <w:pPr>
        <w:spacing w:before="200" w:after="80"/>
      </w:pPr>
      <w:r>
        <w:rPr>
          <w:b/>
          <w:color w:val="1F3A5F"/>
          <w:sz w:val="28"/>
        </w:rPr>
        <w:t>① Mandatory provisions — Animal Welfare Act 7 U.S.C. §1752(a)(2)</w:t>
      </w:r>
    </w:p>
    <w:p>
      <w:pPr>
        <w:pStyle w:val="ListBullet"/>
      </w:pPr>
      <w:r>
        <w:rPr>
          <w:sz w:val="22"/>
        </w:rPr>
        <w:t>Housing — space allocation and materials</w:t>
      </w:r>
    </w:p>
    <w:p>
      <w:pPr>
        <w:pStyle w:val="ListBullet"/>
      </w:pPr>
      <w:r>
        <w:rPr>
          <w:sz w:val="22"/>
        </w:rPr>
        <w:t>Nutrition — feeding stations and feed storage</w:t>
      </w:r>
    </w:p>
    <w:p>
      <w:pPr>
        <w:pStyle w:val="ListBullet"/>
      </w:pPr>
      <w:r>
        <w:rPr>
          <w:sz w:val="22"/>
        </w:rPr>
        <w:t>Water — supply points and plumbing</w:t>
      </w:r>
    </w:p>
    <w:p>
      <w:pPr>
        <w:pStyle w:val="ListBullet"/>
      </w:pPr>
      <w:r>
        <w:rPr>
          <w:sz w:val="22"/>
        </w:rPr>
        <w:t>Handling — circulation and functional zones</w:t>
      </w:r>
    </w:p>
    <w:p>
      <w:pPr>
        <w:pStyle w:val="ListBullet"/>
      </w:pPr>
      <w:r>
        <w:rPr>
          <w:sz w:val="22"/>
        </w:rPr>
        <w:t>Ventilation — airflow and air quality</w:t>
      </w:r>
    </w:p>
    <w:p>
      <w:pPr>
        <w:pStyle w:val="ListBullet"/>
      </w:pPr>
      <w:r>
        <w:rPr>
          <w:sz w:val="22"/>
        </w:rPr>
        <w:t>Sanitation — drainage and washable surfaces</w:t>
      </w:r>
    </w:p>
    <w:p>
      <w:pPr>
        <w:pStyle w:val="ListBullet"/>
      </w:pPr>
      <w:r>
        <w:rPr>
          <w:sz w:val="22"/>
        </w:rPr>
        <w:t>Veterinary care — medical and isolation rooms</w:t>
      </w:r>
    </w:p>
    <w:p>
      <w:pPr>
        <w:spacing w:before="200" w:after="80"/>
      </w:pPr>
      <w:r>
        <w:rPr>
          <w:b/>
          <w:color w:val="1F3A5F"/>
          <w:sz w:val="28"/>
        </w:rPr>
        <w:t>② Indoor ⇄ Outdoor</w:t>
      </w:r>
    </w:p>
    <w:p>
      <w:pPr>
        <w:pStyle w:val="ListBullet"/>
      </w:pPr>
      <w:r>
        <w:rPr>
          <w:sz w:val="22"/>
        </w:rPr>
        <w:t>Indoor: enclosed shell; mechanical ventilation; isolation/quarantine rooms; acoustic/stress control.</w:t>
      </w:r>
    </w:p>
    <w:p>
      <w:pPr>
        <w:pStyle w:val="ListBullet"/>
      </w:pPr>
      <w:r>
        <w:rPr>
          <w:sz w:val="22"/>
        </w:rPr>
        <w:t>Outdoor: runs, shade, weather shelter; floor slope and drainage; secure fencing.</w:t>
      </w:r>
    </w:p>
    <w:p>
      <w:pPr>
        <w:pStyle w:val="ListBullet"/>
      </w:pPr>
      <w:r>
        <w:rPr>
          <w:sz w:val="22"/>
        </w:rPr>
        <w:t>Hybrid (indoor–outdoor): connected runs with guillotine doors; best in temperate climates.</w:t>
      </w:r>
    </w:p>
    <w:p>
      <w:pPr>
        <w:pStyle w:val="ListBullet"/>
      </w:pPr>
      <w:r>
        <w:rPr>
          <w:sz w:val="22"/>
        </w:rPr>
        <w:t>Temperature band for dogs/cats: 7–29.5 °C (45–85 °F), not exceeded for more than 4 consecutive hours.</w:t>
      </w:r>
    </w:p>
    <w:p>
      <w:pPr>
        <w:spacing w:before="200" w:after="80"/>
      </w:pPr>
      <w:r>
        <w:rPr>
          <w:b/>
          <w:color w:val="1F3A5F"/>
          <w:sz w:val="28"/>
        </w:rPr>
        <w:t>③ Tropical ⇄ Non-tropical</w:t>
      </w:r>
    </w:p>
    <w:p>
      <w:pPr>
        <w:pStyle w:val="ListBullet"/>
      </w:pPr>
      <w:r>
        <w:rPr>
          <w:sz w:val="22"/>
        </w:rPr>
        <w:t>Tropical / hot-humid: maximise cross-ventilation; elevation/stilts and raised floors; deep shading; light-coloured roofs; lightweight, low-thermal-mass walls; evaporative/tunnel cooling; insect and humidity/mould control.</w:t>
      </w:r>
    </w:p>
    <w:p>
      <w:pPr>
        <w:pStyle w:val="ListBullet"/>
      </w:pPr>
      <w:r>
        <w:rPr>
          <w:sz w:val="22"/>
        </w:rPr>
        <w:t>Non-tropical / temperate-cold: insulation and a sealed envelope; heating and draught control; thermal mass to retain warmth; solar orientation; snow/rain roof loads.</w:t>
      </w:r>
    </w:p>
    <w:p>
      <w:pPr>
        <w:spacing w:before="200" w:after="80"/>
      </w:pPr>
      <w:r>
        <w:rPr>
          <w:b/>
          <w:color w:val="1F3A5F"/>
          <w:sz w:val="28"/>
        </w:rPr>
        <w:t>④ Species standards (metric)</w:t>
      </w:r>
    </w:p>
    <w:p>
      <w:pPr>
        <w:pStyle w:val="ListBullet"/>
      </w:pPr>
      <w:r>
        <w:rPr>
          <w:sz w:val="22"/>
        </w:rPr>
        <w:t>Dog — primary-enclosure floor ≈ (body length + 15 cm)² → m² (from AWA formula); clear height ≥ head + 15 cm; non-porous surfaces, drainage, kennel + exercise run; noise control.</w:t>
      </w:r>
    </w:p>
    <w:p>
      <w:pPr>
        <w:pStyle w:val="ListBullet"/>
      </w:pPr>
      <w:r>
        <w:rPr>
          <w:sz w:val="22"/>
        </w:rPr>
        <w:t>Cat — enclosure ≥ 61 cm high; floor ≥ 0.28 m² (≤ 4 kg) or ≥ 0.37 m² (&gt; 4 kg); vertical space, hiding spots, low-stress cattery layout.</w:t>
      </w:r>
    </w:p>
    <w:p>
      <w:pPr>
        <w:pStyle w:val="ListBullet"/>
      </w:pPr>
      <w:r>
        <w:rPr>
          <w:sz w:val="22"/>
        </w:rPr>
        <w:t>Horse — stall 3.6 × 3.6 m (≈450–540 kg horse); ceiling ≥ 3.0–3.6 m; 4–8 air changes/hour; mechanical ventilation ≈ 42 / 170 / 340–595 m³/h per 450 kg (cold/mild/hot); non-slip flooring.</w:t>
      </w:r>
    </w:p>
    <w:p>
      <w:pPr>
        <w:spacing w:before="200" w:after="80"/>
      </w:pPr>
      <w:r>
        <w:rPr>
          <w:b/>
          <w:color w:val="1F3A5F"/>
          <w:sz w:val="28"/>
        </w:rPr>
        <w:t>Decision matrix — Species × Climate × Indoor/Outdoor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1"/>
              </w:rPr>
              <w:t>Species</w:t>
            </w:r>
          </w:p>
        </w:tc>
        <w:tc>
          <w:tcPr>
            <w:tcW w:type="dxa" w:w="1728"/>
          </w:tcPr>
          <w:p>
            <w:r>
              <w:rPr>
                <w:b/>
                <w:sz w:val="21"/>
              </w:rPr>
              <w:t>Min space / temp / ventilation</w:t>
            </w:r>
          </w:p>
        </w:tc>
        <w:tc>
          <w:tcPr>
            <w:tcW w:type="dxa" w:w="1728"/>
          </w:tcPr>
          <w:p>
            <w:r>
              <w:rPr>
                <w:b/>
                <w:sz w:val="21"/>
              </w:rPr>
              <w:t>Tropical (hot-humid)</w:t>
            </w:r>
          </w:p>
        </w:tc>
        <w:tc>
          <w:tcPr>
            <w:tcW w:type="dxa" w:w="1728"/>
          </w:tcPr>
          <w:p>
            <w:r>
              <w:rPr>
                <w:b/>
                <w:sz w:val="21"/>
              </w:rPr>
              <w:t>Temperate / cold</w:t>
            </w:r>
          </w:p>
        </w:tc>
        <w:tc>
          <w:tcPr>
            <w:tcW w:type="dxa" w:w="1728"/>
          </w:tcPr>
          <w:p>
            <w:r>
              <w:rPr>
                <w:b/>
                <w:sz w:val="21"/>
              </w:rPr>
              <w:t>Indoor ⇄ Outdoor</w:t>
            </w:r>
          </w:p>
        </w:tc>
      </w:tr>
      <w:tr>
        <w:tc>
          <w:tcPr>
            <w:tcW w:type="dxa" w:w="1728"/>
          </w:tcPr>
          <w:p>
            <w:r>
              <w:rPr>
                <w:b/>
                <w:sz w:val="19"/>
              </w:rPr>
              <w:t>Dog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Floor ≈ (length + 15 cm)² → m²; head + 15 cm. 7–29.5 °C; mechanical vent if enclosed.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Shaded open runs, cross-ventilation, raised hose-down floor, drainage.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Insulated, heated kennel block; draught control.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Kennel + exercise run via guillotine door.</w:t>
            </w:r>
          </w:p>
        </w:tc>
      </w:tr>
      <w:tr>
        <w:tc>
          <w:tcPr>
            <w:tcW w:type="dxa" w:w="1728"/>
          </w:tcPr>
          <w:p>
            <w:r>
              <w:rPr>
                <w:b/>
                <w:sz w:val="19"/>
              </w:rPr>
              <w:t>Cat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 0.28–0.37 m² per cat; ≥ 61 cm high. 7–29.5 °C; quiet, low air-speed.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Shaded, ventilated cattery; insect screens; vertical airflow.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Warm indoor cat rooms; community/condo layout.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Indoor rooms + screened ‘catio’ runs.</w:t>
            </w:r>
          </w:p>
        </w:tc>
      </w:tr>
      <w:tr>
        <w:tc>
          <w:tcPr>
            <w:tcW w:type="dxa" w:w="1728"/>
          </w:tcPr>
          <w:p>
            <w:r>
              <w:rPr>
                <w:b/>
                <w:sz w:val="19"/>
              </w:rPr>
              <w:t>Horse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Stall 3.6 × 3.6 m; ceiling ≥ 3.0–3.6 m. 4–8 ACH; mech ≈ 42 / 170 / 340–595 m³/h per 450 kg.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Open-sided barn, ridge venting, deep shade, light roof.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Draught-free but ridge + eave vents; insulated roof.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Stall + paddock / turnout access.</w:t>
            </w:r>
          </w:p>
        </w:tc>
      </w:tr>
    </w:tbl>
    <w:p>
      <w:pPr>
        <w:spacing w:before="200" w:after="80"/>
      </w:pPr>
      <w:r>
        <w:rPr>
          <w:b/>
          <w:color w:val="1F3A5F"/>
          <w:sz w:val="28"/>
        </w:rPr>
        <w:t>Cross-cutting construction principles</w:t>
      </w:r>
    </w:p>
    <w:p>
      <w:pPr>
        <w:pStyle w:val="ListBullet"/>
      </w:pPr>
      <w:r>
        <w:rPr>
          <w:sz w:val="22"/>
        </w:rPr>
        <w:t>Materials: non-porous, washable, durable, drainable — the basis of sanitation and disease control.</w:t>
      </w:r>
    </w:p>
    <w:p>
      <w:pPr>
        <w:pStyle w:val="ListBullet"/>
      </w:pPr>
      <w:r>
        <w:rPr>
          <w:sz w:val="22"/>
        </w:rPr>
        <w:t>Air: ventilation sized to species and climate (passive cross-ventilation → mechanical/tunnel + evaporative).</w:t>
      </w:r>
    </w:p>
    <w:p>
      <w:pPr>
        <w:pStyle w:val="ListBullet"/>
      </w:pPr>
      <w:r>
        <w:rPr>
          <w:sz w:val="22"/>
        </w:rPr>
        <w:t>Water: supply points + graded floors + drainage feeding waste management.</w:t>
      </w:r>
    </w:p>
    <w:p>
      <w:pPr>
        <w:pStyle w:val="ListBullet"/>
      </w:pPr>
      <w:r>
        <w:rPr>
          <w:sz w:val="22"/>
        </w:rPr>
        <w:t>Light: natural light for circadian rhythm; controlled artificial light.</w:t>
      </w:r>
    </w:p>
    <w:p>
      <w:pPr>
        <w:pStyle w:val="ListBullet"/>
      </w:pPr>
      <w:r>
        <w:rPr>
          <w:sz w:val="22"/>
        </w:rPr>
        <w:t>Zoning: intake · quarantine/isolation · medical · housing · socialisation — one-way clean→dirty flow.</w:t>
      </w:r>
    </w:p>
    <w:p>
      <w:pPr>
        <w:pStyle w:val="ListBullet"/>
      </w:pPr>
      <w:r>
        <w:rPr>
          <w:sz w:val="22"/>
        </w:rPr>
        <w:t>Welfare goal: biological health + emotional state + ability to express natural behaviour.</w:t>
      </w:r>
    </w:p>
    <w:p>
      <w:pPr>
        <w:spacing w:before="200" w:after="80"/>
      </w:pPr>
      <w:r>
        <w:rPr>
          <w:b/>
          <w:color w:val="1F3A5F"/>
          <w:sz w:val="28"/>
        </w:rPr>
        <w:t>Framework diagram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77358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imal_welfare_construction_metri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35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0" w:after="80"/>
      </w:pPr>
      <w:r>
        <w:rPr>
          <w:b/>
          <w:color w:val="1F3A5F"/>
          <w:sz w:val="28"/>
        </w:rPr>
        <w:t>Sources</w:t>
      </w:r>
    </w:p>
    <w:p>
      <w:pPr>
        <w:pStyle w:val="ListBullet"/>
      </w:pPr>
      <w:r>
        <w:rPr>
          <w:sz w:val="22"/>
        </w:rPr>
        <w:t>USDA NAL — Animal Housing, Care &amp; Welfare (AWA 7 U.S.C. §1752): nal.usda.gov/animal-health-and-welfare/animal-housing-care-welfare</w:t>
      </w:r>
    </w:p>
    <w:p>
      <w:pPr>
        <w:pStyle w:val="ListBullet"/>
      </w:pPr>
      <w:r>
        <w:rPr>
          <w:sz w:val="22"/>
        </w:rPr>
        <w:t>9 CFR §3.6 (dogs &amp; cats, primary enclosures) — ecfr.gov; APHIS Minimum Space Requirements for Dogs</w:t>
      </w:r>
    </w:p>
    <w:p>
      <w:pPr>
        <w:pStyle w:val="ListBullet"/>
      </w:pPr>
      <w:r>
        <w:rPr>
          <w:sz w:val="22"/>
        </w:rPr>
        <w:t>Penn State Extension &amp; eXtension — Horse Stable Ventilation</w:t>
      </w:r>
    </w:p>
    <w:p>
      <w:pPr>
        <w:pStyle w:val="ListBullet"/>
      </w:pPr>
      <w:r>
        <w:rPr>
          <w:sz w:val="22"/>
        </w:rPr>
        <w:t>UW–Madison &amp; Koret Shelter Medicine — Facility Design &amp; Animal Housing</w:t>
      </w:r>
    </w:p>
    <w:p>
      <w:pPr>
        <w:pStyle w:val="ListBullet"/>
      </w:pPr>
      <w:r>
        <w:rPr>
          <w:sz w:val="22"/>
        </w:rPr>
        <w:t>Housing for Health — Passive design in tropical zones; FAO — Animal housing environmental requirements (Ch.10)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